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26-125</w:t>
      </w:r>
    </w:p>
    <w:p>
      <w:pPr>
        <w:spacing w:before="0" w:after="0" w:line="480"/>
        <w:ind w:left="120"/>
        <w:jc w:val="left"/>
      </w:pPr>
    </w:p>
    <w:p>
      <w:pPr>
        <w:spacing w:before="0" w:after="0" w:line="480"/>
        <w:ind w:left="120"/>
        <w:jc w:val="center"/>
      </w:pPr>
      <w:r>
        <w:rPr>
          <w:rFonts w:ascii="Times New Roman" w:hAnsi="Times New Roman"/>
          <w:b/>
          <w:i w:val="false"/>
          <w:color w:val="000000"/>
          <w:sz w:val="28"/>
        </w:rPr>
        <w:t>LAW ENFORCEMENT ACADEMY[501]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501—Chapter 1</w:t>
      </w:r>
    </w:p>
    <w:p>
      <w:pPr>
        <w:spacing w:before="0" w:after="0" w:line="480"/>
        <w:ind w:left="120"/>
        <w:jc w:val="center"/>
      </w:pPr>
      <w:r>
        <w:rPr>
          <w:rFonts w:ascii="Times New Roman" w:hAnsi="Times New Roman"/>
          <w:b w:val="false"/>
          <w:i w:val="false"/>
          <w:color w:val="000000"/>
          <w:sz w:val="24"/>
        </w:rPr>
        <w:t>“Organization and Administrative Processes”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80B, and 80D</w:t>
      </w:r>
    </w:p>
    <w:p>
      <w:pPr>
        <w:spacing w:before="0" w:after="0" w:line="480"/>
        <w:ind w:left="120"/>
        <w:jc w:val="both"/>
      </w:pPr>
      <w:r>
        <w:rPr>
          <w:rFonts w:ascii="Times New Roman" w:hAnsi="Times New Roman"/>
          <w:b w:val="false"/>
          <w:i w:val="false"/>
          <w:color w:val="000000"/>
          <w:sz w:val="24"/>
        </w:rPr>
        <w:t>State or federal law(s) implemented by the rulemaking: Iowa Code chapters 80B and 80D</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 person: 7105 NW 70th Avenue</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Johnston, Iowa</w:t>
            </w:r>
            <w:r>
              <w:br/>
            </w:r>
            <w:r>
              <w:rPr>
                <w:rFonts w:ascii="Times New Roman" w:hAnsi="Times New Roman"/>
                <w:b w:val="false"/>
                <w:i w:val="false"/>
                <w:color w:val="000000"/>
                <w:sz w:val="14"/>
              </w:rPr>
              <w:t xml:space="preserve">Online: </w:t>
            </w:r>
            <w:hyperlink r:id="rId4">
              <w:r>
                <w:rPr>
                  <w:rStyle w:val="Hyperlink"/>
                  <w:rFonts w:ascii="Times New Roman" w:hAnsi="Times New Roman"/>
                  <w:b w:val="false"/>
                  <w:i w:val="false"/>
                  <w:color w:val="0000ff"/>
                  <w:sz w:val="14"/>
                </w:rPr>
                <w:t>us06web.zoom.us/j/88403237275</w:t>
              </w:r>
            </w:hyperlink>
            <w:r>
              <w:rPr>
                <w:rFonts w:ascii="Times New Roman" w:hAnsi="Times New Roman"/>
                <w:b w:val="false"/>
                <w:i w:val="false"/>
                <w:color w:val="000000"/>
                <w:sz w:val="14"/>
              </w:rPr>
              <w:t xml:space="preserve">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Law Enforcement Academy no later than 4:30 p.m. on July 14, 2026.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Kristi Traynor</w:t>
            </w:r>
            <w:r>
              <w:br/>
            </w:r>
            <w:r>
              <w:rPr>
                <w:rFonts w:ascii="Times New Roman" w:hAnsi="Times New Roman"/>
                <w:b w:val="false"/>
                <w:i w:val="false"/>
                <w:color w:val="000000"/>
                <w:sz w:val="14"/>
              </w:rPr>
              <w:t>Iowa Law Enforcement Academy</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Johnston, Iowa 50131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Chapter 1 describes the organization and administrative processes of the Iowa Law Enforcement Academy Council, including the definitions for the remainder of the Council’s administrative rules. This proposed chapter was reviewed as a part of the Red Tape Review required by Executive Order 10. The Council deleted redundant language and eliminated restrictive terms.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This proposed rulemaking will benefit the public by clearly defining the terms used in the chapters adopted by the Council, identifying the organization and procedures of the Council as required by Iowa Code sections 80B.7 and 80B.9, and allowing the Council to ensure active licensees comply with mandatory professional development.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Iowa’s law enforcement officers will benefit from understanding the Council’s procedures and authority, enabling them to plan for necessary business with the Council.</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public will benefit from clarity and understanding of the Council’s organization and procedures and from assurances that licensees comply with mandatory professional development.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known costs. The Academy has staff who already engage in similar functions for Council matters.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This proposed rulemaking has no anticipated impact on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Iowa Code sections 80B.7 and 80B.9 require the Council to set forth its procedures through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has been streamlined, clarified, and made less restrictive where possible in accordance with the goals and directives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This rulemaking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ORGANIZATION AND ADMINISTRATIVE PROCESSES</w:t>
      </w:r>
    </w:p>
    <w:p>
      <w:pPr>
        <w:spacing w:before="0" w:after="0" w:line="480"/>
        <w:ind w:left="120"/>
        <w:jc w:val="both"/>
      </w:pPr>
      <w:r>
        <w:rPr>
          <w:rFonts w:ascii="Times New Roman" w:hAnsi="Times New Roman"/>
          <w:b/>
          <w:i w:val="false"/>
          <w:color w:val="000000"/>
          <w:sz w:val="24"/>
        </w:rPr>
        <w:t>501—1.1</w:t>
      </w:r>
      <w:r>
        <w:rPr>
          <w:rFonts w:ascii="Times New Roman" w:hAnsi="Times New Roman"/>
          <w:b/>
          <w:i w:val="false"/>
          <w:color w:val="000000"/>
          <w:sz w:val="24"/>
        </w:rPr>
        <w:t xml:space="preserve">(80B,80D)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As used in this chapter and 501—Chapters </w:t>
      </w:r>
      <w:hyperlink r:id="rId6">
        <w:r>
          <w:rPr>
            <w:rStyle w:val="Hyperlink"/>
            <w:rFonts w:ascii="Times New Roman" w:hAnsi="Times New Roman"/>
            <w:b w:val="false"/>
            <w:i w:val="false"/>
            <w:color w:val="000000"/>
            <w:sz w:val="24"/>
          </w:rPr>
          <w:t>2 through 6</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8 through 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“Academy”</w:t>
      </w:r>
      <w:r>
        <w:rPr>
          <w:rFonts w:ascii="Times New Roman" w:hAnsi="Times New Roman"/>
          <w:b w:val="false"/>
          <w:i/>
          <w:color w:val="000000"/>
          <w:sz w:val="24"/>
          <w:u w:val="single"/>
        </w:rPr>
        <w:t> </w:t>
      </w:r>
      <w:r>
        <w:rPr>
          <w:rFonts w:ascii="Times New Roman" w:hAnsi="Times New Roman"/>
          <w:b w:val="false"/>
          <w:i w:val="false"/>
          <w:color w:val="000000"/>
          <w:sz w:val="24"/>
        </w:rPr>
        <w:t>means the Iowa law enforcement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individual filing an application for consideration before the council.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“Area school”</w:t>
      </w:r>
      <w:r>
        <w:rPr>
          <w:rFonts w:ascii="Times New Roman" w:hAnsi="Times New Roman"/>
          <w:b w:val="false"/>
          <w:i/>
          <w:color w:val="000000"/>
          <w:sz w:val="24"/>
          <w:u w:val="single"/>
        </w:rPr>
        <w:t> </w:t>
      </w:r>
      <w:r>
        <w:rPr>
          <w:rFonts w:ascii="Times New Roman" w:hAnsi="Times New Roman"/>
          <w:b w:val="false"/>
          <w:i w:val="false"/>
          <w:color w:val="000000"/>
          <w:sz w:val="24"/>
        </w:rPr>
        <w:t>means a training school approved by the council that provides noncertifying courses for more than one law enforcement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“Basic training course”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initial training course completed by a jail administrator, jailer, temporary holding facility administrator, or public safety telecommunicator within the required time frame from their date of hire.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“Break in service”</w:t>
      </w:r>
      <w:r>
        <w:rPr>
          <w:rFonts w:ascii="Times New Roman" w:hAnsi="Times New Roman"/>
          <w:b w:val="false"/>
          <w:i/>
          <w:color w:val="000000"/>
          <w:sz w:val="24"/>
          <w:u w:val="single"/>
        </w:rPr>
        <w:t> </w:t>
      </w:r>
      <w:r>
        <w:rPr>
          <w:rFonts w:ascii="Times New Roman" w:hAnsi="Times New Roman"/>
          <w:b w:val="false"/>
          <w:i w:val="false"/>
          <w:color w:val="000000"/>
          <w:sz w:val="24"/>
        </w:rPr>
        <w:t>means a gap in employment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“Certification”</w:t>
      </w:r>
      <w:r>
        <w:rPr>
          <w:rFonts w:ascii="Times New Roman" w:hAnsi="Times New Roman"/>
          <w:b w:val="false"/>
          <w:i/>
          <w:color w:val="000000"/>
          <w:sz w:val="24"/>
          <w:u w:val="single"/>
        </w:rPr>
        <w:t> </w:t>
      </w:r>
      <w:r>
        <w:rPr>
          <w:rFonts w:ascii="Times New Roman" w:hAnsi="Times New Roman"/>
          <w:b w:val="false"/>
          <w:i w:val="false"/>
          <w:color w:val="000000"/>
          <w:sz w:val="24"/>
        </w:rPr>
        <w:t>means the license issued to a law enforcement officer or a reserve officer upon documentation that the officer is employed and has successfully completed the training requirements for the specific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“Code of professional conduct”</w:t>
      </w:r>
      <w:r>
        <w:rPr>
          <w:rFonts w:ascii="Times New Roman" w:hAnsi="Times New Roman"/>
          <w:b w:val="false"/>
          <w:i/>
          <w:color w:val="000000"/>
          <w:sz w:val="24"/>
          <w:u w:val="single"/>
        </w:rPr>
        <w:t> </w:t>
      </w:r>
      <w:r>
        <w:rPr>
          <w:rFonts w:ascii="Times New Roman" w:hAnsi="Times New Roman"/>
          <w:b w:val="false"/>
          <w:i w:val="false"/>
          <w:color w:val="000000"/>
          <w:sz w:val="24"/>
        </w:rPr>
        <w:t>means a set of ethical principles governing the conduct of all law enforcement officers and reserve officers.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“Conviction”</w:t>
      </w:r>
      <w:r>
        <w:rPr>
          <w:rFonts w:ascii="Times New Roman" w:hAnsi="Times New Roman"/>
          <w:b w:val="false"/>
          <w:i/>
          <w:color w:val="000000"/>
          <w:sz w:val="24"/>
          <w:u w:val="single"/>
        </w:rPr>
        <w:t> </w:t>
      </w:r>
      <w:r>
        <w:rPr>
          <w:rFonts w:ascii="Times New Roman" w:hAnsi="Times New Roman"/>
          <w:b w:val="false"/>
          <w:i w:val="false"/>
          <w:color w:val="000000"/>
          <w:sz w:val="24"/>
        </w:rPr>
        <w:t>means a conviction in any federal, military, tribal, state, county, municipal, or juvenile court; a voluntary forfeiture of bail, bond, or collateral deposited to secure a defendant’s appearance in court as final disposition; the payment of a fine or civil penalty; a plea of guilty or nolo contendere; or a finding of guilt, even if the adjudication of guilty is deferred, withheld, not entered, sealed, or expunged; whether the plea or conviction is set aside or withdrawn, or the case or charge is dismissed or reduced where the setting aside, withdraw, dismissal, or reduction is based upon lenity or rehabilitation rather than upon a defect in the legality or factual basis of the plea, finding of guilt or conviction; and any conviction for which the person is pardoned.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“Core competency”</w:t>
      </w:r>
      <w:r>
        <w:rPr>
          <w:rFonts w:ascii="Times New Roman" w:hAnsi="Times New Roman"/>
          <w:b w:val="false"/>
          <w:i/>
          <w:color w:val="000000"/>
          <w:sz w:val="24"/>
          <w:u w:val="single"/>
        </w:rPr>
        <w:t> </w:t>
      </w:r>
      <w:r>
        <w:rPr>
          <w:rFonts w:ascii="Times New Roman" w:hAnsi="Times New Roman"/>
          <w:b w:val="false"/>
          <w:i w:val="false"/>
          <w:color w:val="000000"/>
          <w:sz w:val="24"/>
        </w:rPr>
        <w:t>means the effective and successful application of combined skills, knowledge, and behaviors in a given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“Core concept”</w:t>
      </w:r>
      <w:r>
        <w:rPr>
          <w:rFonts w:ascii="Times New Roman" w:hAnsi="Times New Roman"/>
          <w:b w:val="false"/>
          <w:i/>
          <w:color w:val="000000"/>
          <w:sz w:val="24"/>
          <w:u w:val="single"/>
        </w:rPr>
        <w:t> </w:t>
      </w:r>
      <w:r>
        <w:rPr>
          <w:rFonts w:ascii="Times New Roman" w:hAnsi="Times New Roman"/>
          <w:b w:val="false"/>
          <w:i w:val="false"/>
          <w:color w:val="000000"/>
          <w:sz w:val="24"/>
        </w:rPr>
        <w:t>means an element of understanding through education or study that forms a foundation. Concepts are the building blocks for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“Core skill”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specific, trainable ability that is gained by applying concepts. Skills are the building blocks of competencies.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“Council”</w:t>
      </w:r>
      <w:r>
        <w:rPr>
          <w:rFonts w:ascii="Times New Roman" w:hAnsi="Times New Roman"/>
          <w:b w:val="false"/>
          <w:i/>
          <w:color w:val="000000"/>
          <w:sz w:val="24"/>
          <w:u w:val="single"/>
        </w:rPr>
        <w:t> </w:t>
      </w:r>
      <w:r>
        <w:rPr>
          <w:rFonts w:ascii="Times New Roman" w:hAnsi="Times New Roman"/>
          <w:b w:val="false"/>
          <w:i w:val="false"/>
          <w:color w:val="000000"/>
          <w:sz w:val="24"/>
        </w:rPr>
        <w:t>means the Iowa law enforcement academy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color w:val="000000"/>
          <w:sz w:val="24"/>
          <w:u w:val="single"/>
        </w:rPr>
        <w:t> </w:t>
      </w:r>
      <w:r>
        <w:rPr>
          <w:rFonts w:ascii="Times New Roman" w:hAnsi="Times New Roman"/>
          <w:b w:val="false"/>
          <w:i w:val="false"/>
          <w:color w:val="000000"/>
          <w:sz w:val="24"/>
        </w:rPr>
        <w:t>means the director of the Iowa law enforcement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“Discipline”</w:t>
      </w:r>
      <w:r>
        <w:rPr>
          <w:rFonts w:ascii="Times New Roman" w:hAnsi="Times New Roman"/>
          <w:b w:val="false"/>
          <w:i/>
          <w:color w:val="000000"/>
          <w:sz w:val="24"/>
          <w:u w:val="single"/>
        </w:rPr>
        <w:t> </w:t>
      </w:r>
      <w:r>
        <w:rPr>
          <w:rFonts w:ascii="Times New Roman" w:hAnsi="Times New Roman"/>
          <w:b w:val="false"/>
          <w:i w:val="false"/>
          <w:color w:val="000000"/>
          <w:sz w:val="24"/>
        </w:rPr>
        <w:t>means the process of sanctioning a certification, license, endorsement, or waiver issued by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“Employing agency”</w:t>
      </w:r>
      <w:r>
        <w:rPr>
          <w:rFonts w:ascii="Times New Roman" w:hAnsi="Times New Roman"/>
          <w:b w:val="false"/>
          <w:i/>
          <w:color w:val="000000"/>
          <w:sz w:val="24"/>
          <w:u w:val="single"/>
        </w:rPr>
        <w:t> </w:t>
      </w:r>
      <w:r>
        <w:rPr>
          <w:rFonts w:ascii="Times New Roman" w:hAnsi="Times New Roman"/>
          <w:b w:val="false"/>
          <w:i w:val="false"/>
          <w:color w:val="000000"/>
          <w:sz w:val="24"/>
        </w:rPr>
        <w:t>means any state, county, municipal, or tribal government or governmental body that employs an individual under the academy’s statutory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“Feasibility study”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comprehensive assessment that determines the viability of a proposed regional training center identifying the technical, economic, operational, and logistical challenges to ensure the proposed regional training center will align with the council’s mission. A feasibility study includes a preliminary analysis, market research, financial assessment, technical and organizational needs, and risk analysis.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“Jail”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any place administered by the county sheriff and designed to hold inmates for as long as lawfully required but not to exceed one year pursuant to Iowa Code chapters </w:t>
      </w:r>
      <w:hyperlink r:id="rId8">
        <w:r>
          <w:rPr>
            <w:rStyle w:val="Hyperlink"/>
            <w:rFonts w:ascii="Times New Roman" w:hAnsi="Times New Roman"/>
            <w:b w:val="false"/>
            <w:i w:val="false"/>
            <w:color w:val="000000"/>
            <w:sz w:val="24"/>
          </w:rPr>
          <w:t>356</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356A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“Jail administrator”</w:t>
      </w:r>
      <w:r>
        <w:rPr>
          <w:rFonts w:ascii="Times New Roman" w:hAnsi="Times New Roman"/>
          <w:b w:val="false"/>
          <w:i/>
          <w:color w:val="000000"/>
          <w:sz w:val="24"/>
          <w:u w:val="single"/>
        </w:rPr>
        <w:t> </w:t>
      </w:r>
      <w:r>
        <w:rPr>
          <w:rFonts w:ascii="Times New Roman" w:hAnsi="Times New Roman"/>
          <w:b w:val="false"/>
          <w:i w:val="false"/>
          <w:color w:val="000000"/>
          <w:sz w:val="24"/>
        </w:rPr>
        <w:t>means the sheriff, sheriff’s designee, or the executive head of any agency operating a jail.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“Law enforcement practice”</w:t>
      </w:r>
      <w:r>
        <w:rPr>
          <w:rFonts w:ascii="Times New Roman" w:hAnsi="Times New Roman"/>
          <w:b w:val="false"/>
          <w:i/>
          <w:color w:val="000000"/>
          <w:sz w:val="24"/>
          <w:u w:val="single"/>
        </w:rPr>
        <w:t> </w:t>
      </w:r>
      <w:r>
        <w:rPr>
          <w:rFonts w:ascii="Times New Roman" w:hAnsi="Times New Roman"/>
          <w:b w:val="false"/>
          <w:i w:val="false"/>
          <w:color w:val="000000"/>
          <w:sz w:val="24"/>
        </w:rPr>
        <w:t>means experience gained by a certified law enforcement officer whose primary job function is the enforcement of criminal laws and the prevention and detection of crime.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“Local school”</w:t>
      </w:r>
      <w:r>
        <w:rPr>
          <w:rFonts w:ascii="Times New Roman" w:hAnsi="Times New Roman"/>
          <w:b w:val="false"/>
          <w:i/>
          <w:color w:val="000000"/>
          <w:sz w:val="24"/>
          <w:u w:val="single"/>
        </w:rPr>
        <w:t> </w:t>
      </w:r>
      <w:r>
        <w:rPr>
          <w:rFonts w:ascii="Times New Roman" w:hAnsi="Times New Roman"/>
          <w:b w:val="false"/>
          <w:i w:val="false"/>
          <w:color w:val="000000"/>
          <w:sz w:val="24"/>
        </w:rPr>
        <w:t>means a training school approved by the council that provides noncertifying courses for its own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“Professional development”</w:t>
      </w:r>
      <w:r>
        <w:rPr>
          <w:rFonts w:ascii="Times New Roman" w:hAnsi="Times New Roman"/>
          <w:b w:val="false"/>
          <w:i/>
          <w:color w:val="000000"/>
          <w:sz w:val="24"/>
          <w:u w:val="single"/>
        </w:rPr>
        <w:t> </w:t>
      </w:r>
      <w:r>
        <w:rPr>
          <w:rFonts w:ascii="Times New Roman" w:hAnsi="Times New Roman"/>
          <w:b w:val="false"/>
          <w:i w:val="false"/>
          <w:color w:val="000000"/>
          <w:sz w:val="24"/>
        </w:rPr>
        <w:t>means relevant training that will maintain, improve, or expand skills and knowledge to satisfy annual training and certification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licensed provider”</w:t>
      </w:r>
      <w:r>
        <w:rPr>
          <w:rFonts w:ascii="Times New Roman" w:hAnsi="Times New Roman"/>
          <w:b w:val="false"/>
          <w:i/>
          <w:color w:val="000000"/>
          <w:sz w:val="24"/>
          <w:u w:val="single"/>
        </w:rPr>
        <w:t> </w:t>
      </w:r>
      <w:r>
        <w:rPr>
          <w:rFonts w:ascii="Times New Roman" w:hAnsi="Times New Roman"/>
          <w:b w:val="false"/>
          <w:i w:val="false"/>
          <w:color w:val="000000"/>
          <w:sz w:val="24"/>
        </w:rPr>
        <w:t>means a health care provider with the necessary education, training, and state-mandated license to perform professional services within the provider’s scope of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“Reciprocity”</w:t>
      </w:r>
      <w:r>
        <w:rPr>
          <w:rFonts w:ascii="Times New Roman" w:hAnsi="Times New Roman"/>
          <w:b w:val="false"/>
          <w:i/>
          <w:color w:val="000000"/>
          <w:sz w:val="24"/>
          <w:u w:val="single"/>
        </w:rPr>
        <w:t> </w:t>
      </w:r>
      <w:r>
        <w:rPr>
          <w:rFonts w:ascii="Times New Roman" w:hAnsi="Times New Roman"/>
          <w:b w:val="false"/>
          <w:i w:val="false"/>
          <w:color w:val="000000"/>
          <w:sz w:val="24"/>
        </w:rPr>
        <w:t>means a pathway to certification that includes certification through examination, military reciprocity, or federal reciprocity.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“Regional training center”</w:t>
      </w:r>
      <w:r>
        <w:rPr>
          <w:rFonts w:ascii="Times New Roman" w:hAnsi="Times New Roman"/>
          <w:b w:val="false"/>
          <w:i/>
          <w:color w:val="000000"/>
          <w:sz w:val="24"/>
          <w:u w:val="single"/>
        </w:rPr>
        <w:t> </w:t>
      </w:r>
      <w:r>
        <w:rPr>
          <w:rFonts w:ascii="Times New Roman" w:hAnsi="Times New Roman"/>
          <w:b w:val="false"/>
          <w:i w:val="false"/>
          <w:color w:val="000000"/>
          <w:sz w:val="24"/>
        </w:rPr>
        <w:t>means a training center approved by the council that provides courses for level I academies, level II academies, or reserve officers.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“Regional training center coordinator”</w:t>
      </w:r>
      <w:r>
        <w:rPr>
          <w:rFonts w:ascii="Times New Roman" w:hAnsi="Times New Roman"/>
          <w:b w:val="false"/>
          <w:i/>
          <w:color w:val="000000"/>
          <w:sz w:val="24"/>
          <w:u w:val="single"/>
        </w:rPr>
        <w:t> </w:t>
      </w:r>
      <w:r>
        <w:rPr>
          <w:rFonts w:ascii="Times New Roman" w:hAnsi="Times New Roman"/>
          <w:b w:val="false"/>
          <w:i w:val="false"/>
          <w:color w:val="000000"/>
          <w:sz w:val="24"/>
        </w:rPr>
        <w:t>means the individual who is responsible for overseeing, implementing, and assessing course curriculum and instruction standards at a council-approved regional training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“Revocation”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process by which the council removes an individual’s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in the uniformed services”</w:t>
      </w:r>
      <w:r>
        <w:rPr>
          <w:rFonts w:ascii="Times New Roman" w:hAnsi="Times New Roman"/>
          <w:b w:val="false"/>
          <w:i/>
          <w:color w:val="000000"/>
          <w:sz w:val="24"/>
          <w:u w:val="single"/>
        </w:rPr>
        <w:t> </w:t>
      </w:r>
      <w:r>
        <w:rPr>
          <w:rFonts w:ascii="Times New Roman" w:hAnsi="Times New Roman"/>
          <w:b w:val="false"/>
          <w:i w:val="false"/>
          <w:color w:val="000000"/>
          <w:sz w:val="24"/>
        </w:rPr>
        <w:t>means the performance of duty on a voluntary or involuntary basis in a uniformed service as defined by the federal Uniformed Services Employment and Reemployment Rights Act of 1994, as amended to [effective date of the rulemaking].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“Successfully complete”</w:t>
      </w:r>
      <w:r>
        <w:rPr>
          <w:rFonts w:ascii="Times New Roman" w:hAnsi="Times New Roman"/>
          <w:b w:val="false"/>
          <w:i/>
          <w:color w:val="000000"/>
          <w:sz w:val="24"/>
          <w:u w:val="single"/>
        </w:rPr>
        <w:t> </w:t>
      </w:r>
      <w:r>
        <w:rPr>
          <w:rFonts w:ascii="Times New Roman" w:hAnsi="Times New Roman"/>
          <w:b w:val="false"/>
          <w:i w:val="false"/>
          <w:color w:val="000000"/>
          <w:sz w:val="24"/>
        </w:rPr>
        <w:t>means to demonstrate the ability to perform all practical skills safely, effectively, and within the standards outlined by the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“Temporary holding facility”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temporary holding facility as defined in </w:t>
      </w:r>
      <w:hyperlink r:id="rId10">
        <w:r>
          <w:rPr>
            <w:rStyle w:val="Hyperlink"/>
            <w:rFonts w:ascii="Times New Roman" w:hAnsi="Times New Roman"/>
            <w:b w:val="false"/>
            <w:i w:val="false"/>
            <w:color w:val="000000"/>
            <w:sz w:val="24"/>
          </w:rPr>
          <w:t>201—Chapter 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“Weapon”</w:t>
      </w:r>
      <w:r>
        <w:rPr>
          <w:rFonts w:ascii="Times New Roman" w:hAnsi="Times New Roman"/>
          <w:b w:val="false"/>
          <w:i/>
          <w:color w:val="000000"/>
          <w:sz w:val="24"/>
          <w:u w:val="single"/>
        </w:rPr>
        <w:t> </w:t>
      </w:r>
      <w:r>
        <w:rPr>
          <w:rFonts w:ascii="Times New Roman" w:hAnsi="Times New Roman"/>
          <w:b w:val="false"/>
          <w:i w:val="false"/>
          <w:color w:val="000000"/>
          <w:sz w:val="24"/>
        </w:rPr>
        <w:t>means any firearm, striking instrument, conductive energy device, or chemical agent authorized for use as a weapon by the employing agency.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1">
        <w:r>
          <w:rPr>
            <w:rStyle w:val="Hyperlink"/>
            <w:rFonts w:ascii="Times New Roman" w:hAnsi="Times New Roman"/>
            <w:b w:val="false"/>
            <w:i w:val="false"/>
            <w:color w:val="000000"/>
            <w:sz w:val="24"/>
          </w:rPr>
          <w:t>80B.3</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80B.11</w:t>
        </w:r>
      </w:hyperlink>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80D.7</w:t>
        </w:r>
      </w:hyperlink>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321.52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501—1.2</w:t>
      </w:r>
      <w:r>
        <w:rPr>
          <w:rFonts w:ascii="Times New Roman" w:hAnsi="Times New Roman"/>
          <w:b/>
          <w:i w:val="false"/>
          <w:color w:val="000000"/>
          <w:sz w:val="24"/>
        </w:rPr>
        <w:t xml:space="preserve">(80B,80D) </w:t>
      </w:r>
      <w:r>
        <w:rPr>
          <w:rFonts w:ascii="Times New Roman" w:hAnsi="Times New Roman"/>
          <w:b/>
          <w:i w:val="false"/>
          <w:color w:val="000000"/>
          <w:sz w:val="24"/>
        </w:rPr>
        <w:t xml:space="preserve">Purpose of council. </w:t>
      </w:r>
      <w:r>
        <w:rPr>
          <w:rFonts w:ascii="Times New Roman" w:hAnsi="Times New Roman"/>
          <w:b w:val="false"/>
          <w:i w:val="false"/>
          <w:color w:val="000000"/>
          <w:sz w:val="24"/>
        </w:rPr>
        <w:t xml:space="preserve">The council administers and enforces the provisions of Iowa Code chapters </w:t>
      </w:r>
      <w:hyperlink r:id="rId16">
        <w:r>
          <w:rPr>
            <w:rStyle w:val="Hyperlink"/>
            <w:rFonts w:ascii="Times New Roman" w:hAnsi="Times New Roman"/>
            <w:b w:val="false"/>
            <w:i w:val="false"/>
            <w:color w:val="000000"/>
            <w:sz w:val="24"/>
          </w:rPr>
          <w:t>80B</w:t>
        </w:r>
      </w:hyperlink>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80D</w:t>
        </w:r>
      </w:hyperlink>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501—Chapters 1 through 10</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2504 through 2506</w:t>
        </w:r>
      </w:hyperlink>
      <w:r>
        <w:rPr>
          <w:rFonts w:ascii="Times New Roman" w:hAnsi="Times New Roman"/>
          <w:b w:val="false"/>
          <w:i w:val="false"/>
          <w:color w:val="000000"/>
          <w:sz w:val="24"/>
        </w:rPr>
        <w:t>. The mission of the council is to protect the health, safety, and welfare of the public by certifying qualified individuals as law enforcement officers and reserve officers. Responsibilities of the council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w:t>
      </w:r>
      <w:r>
        <w:rPr>
          <w:rFonts w:ascii="Times New Roman" w:hAnsi="Times New Roman"/>
          <w:b w:val="false"/>
          <w:i w:val="false"/>
          <w:color w:val="000000"/>
          <w:sz w:val="24"/>
        </w:rPr>
        <w:t> </w:t>
      </w:r>
      <w:r>
        <w:rPr>
          <w:rFonts w:ascii="Times New Roman" w:hAnsi="Times New Roman"/>
          <w:b w:val="false"/>
          <w:i w:val="false"/>
          <w:color w:val="000000"/>
          <w:sz w:val="24"/>
        </w:rPr>
        <w:t>Licensing and training. Licensing qualified law enforcement officers and reserve officers who successfully complete a pathway to certification and providing basic training programs for jailers and public safety telecommunicators.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w:t>
      </w:r>
      <w:r>
        <w:rPr>
          <w:rFonts w:ascii="Times New Roman" w:hAnsi="Times New Roman"/>
          <w:b w:val="false"/>
          <w:i w:val="false"/>
          <w:color w:val="000000"/>
          <w:sz w:val="24"/>
        </w:rPr>
        <w:t> </w:t>
      </w:r>
      <w:r>
        <w:rPr>
          <w:rFonts w:ascii="Times New Roman" w:hAnsi="Times New Roman"/>
          <w:b w:val="false"/>
          <w:i w:val="false"/>
          <w:color w:val="000000"/>
          <w:sz w:val="24"/>
        </w:rPr>
        <w:t>Professional development. Developing and administering a program of annual professional development requirements to ensure the continued competency of individuals certified and trained by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w:t>
      </w:r>
      <w:r>
        <w:rPr>
          <w:rFonts w:ascii="Times New Roman" w:hAnsi="Times New Roman"/>
          <w:b w:val="false"/>
          <w:i w:val="false"/>
          <w:color w:val="000000"/>
          <w:sz w:val="24"/>
        </w:rPr>
        <w:t> </w:t>
      </w:r>
      <w:r>
        <w:rPr>
          <w:rFonts w:ascii="Times New Roman" w:hAnsi="Times New Roman"/>
          <w:b w:val="false"/>
          <w:i w:val="false"/>
          <w:color w:val="000000"/>
          <w:sz w:val="24"/>
        </w:rPr>
        <w:t>Discipline. Imposing discipline on law enforcement officers and reserve officers as provided by statute and rule.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0">
        <w:r>
          <w:rPr>
            <w:rStyle w:val="Hyperlink"/>
            <w:rFonts w:ascii="Times New Roman" w:hAnsi="Times New Roman"/>
            <w:b w:val="false"/>
            <w:i w:val="false"/>
            <w:color w:val="000000"/>
            <w:sz w:val="24"/>
          </w:rPr>
          <w:t>80B.2</w:t>
        </w:r>
      </w:hyperlink>
      <w:r>
        <w:rPr>
          <w:rFonts w:ascii="Times New Roman" w:hAnsi="Times New Roman"/>
          <w:b w:val="false"/>
          <w:i w:val="false"/>
          <w:color w:val="000000"/>
          <w:sz w:val="24"/>
        </w:rPr>
        <w:t xml:space="preserve">, </w:t>
      </w:r>
      <w:hyperlink r:id="rId21">
        <w:r>
          <w:rPr>
            <w:rStyle w:val="Hyperlink"/>
            <w:rFonts w:ascii="Times New Roman" w:hAnsi="Times New Roman"/>
            <w:b w:val="false"/>
            <w:i w:val="false"/>
            <w:color w:val="000000"/>
            <w:sz w:val="24"/>
          </w:rPr>
          <w:t>80B.11</w:t>
        </w:r>
      </w:hyperlink>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23">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 xml:space="preserve">, </w:t>
      </w:r>
      <w:hyperlink r:id="rId24">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501—1.3</w:t>
      </w:r>
      <w:r>
        <w:rPr>
          <w:rFonts w:ascii="Times New Roman" w:hAnsi="Times New Roman"/>
          <w:b/>
          <w:i w:val="false"/>
          <w:color w:val="000000"/>
          <w:sz w:val="24"/>
        </w:rPr>
        <w:t xml:space="preserve">(80B) </w:t>
      </w:r>
      <w:r>
        <w:rPr>
          <w:rFonts w:ascii="Times New Roman" w:hAnsi="Times New Roman"/>
          <w:b/>
          <w:i w:val="false"/>
          <w:color w:val="000000"/>
          <w:sz w:val="24"/>
        </w:rPr>
        <w:t xml:space="preserve">Council proceedings.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w:t>
      </w:r>
      <w:r>
        <w:rPr>
          <w:rFonts w:ascii="Times New Roman" w:hAnsi="Times New Roman"/>
          <w:b w:val="false"/>
          <w:i w:val="false"/>
          <w:color w:val="000000"/>
          <w:sz w:val="24"/>
        </w:rPr>
        <w:t> </w:t>
      </w:r>
      <w:r>
        <w:rPr>
          <w:rFonts w:ascii="Times New Roman" w:hAnsi="Times New Roman"/>
          <w:b w:val="false"/>
          <w:i/>
          <w:color w:val="000000"/>
          <w:sz w:val="24"/>
        </w:rPr>
        <w:t xml:space="preserve">Meetings. </w:t>
      </w:r>
      <w:r>
        <w:rPr>
          <w:rFonts w:ascii="Times New Roman" w:hAnsi="Times New Roman"/>
          <w:b w:val="false"/>
          <w:i w:val="false"/>
          <w:color w:val="000000"/>
          <w:sz w:val="24"/>
        </w:rPr>
        <w:t xml:space="preserve">The majority of the council’s meetings will be held at the academy, Camp Dodge, 7105 NW 70th Avenue, Building A41, Johnston,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council will annually, at its regularly scheduled meeting in June, elect a chair and vice chair from its membership to begin serving upon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council will approve annual meeting dates by at least June 30.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council may schedule special meetings called by the chair or, upon request to the chair by six members of the council or upon request of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To be placed on the agenda, completed materials will be received at least ten days prior to a scheduled council meeting. Materials from emergency or unusual circumstances may be added to the agenda with the chair’s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Persons in attendance at council meetings may be granted an opportunity to speak on an issue before the council at the discretion of the chair. The length and frequency of public comment will be at the discretion of the chair.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council will govern its meetings in accordance with Iowa Code chapter </w:t>
      </w:r>
      <w:hyperlink r:id="rId26">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 xml:space="preserve"> and its proceedings by Robert’s Rules of Order, Revised.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1.3(2)</w:t>
      </w:r>
      <w:r>
        <w:rPr>
          <w:rFonts w:ascii="Times New Roman" w:hAnsi="Times New Roman"/>
          <w:b w:val="false"/>
          <w:i w:val="false"/>
          <w:color w:val="000000"/>
          <w:sz w:val="24"/>
        </w:rPr>
        <w:t> </w:t>
      </w:r>
      <w:r>
        <w:rPr>
          <w:rFonts w:ascii="Times New Roman" w:hAnsi="Times New Roman"/>
          <w:b w:val="false"/>
          <w:i/>
          <w:color w:val="000000"/>
          <w:sz w:val="24"/>
        </w:rPr>
        <w:t xml:space="preserve">Quorum and majority vote. </w:t>
      </w:r>
      <w:r>
        <w:rPr>
          <w:rFonts w:ascii="Times New Roman" w:hAnsi="Times New Roman"/>
          <w:b w:val="false"/>
          <w:i w:val="false"/>
          <w:color w:val="000000"/>
          <w:sz w:val="24"/>
        </w:rPr>
        <w:t>A quorum will consist of two-thirds of the currently appointed voting members of the council. Action of the council must be approved by a simple majority of the voting members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w:t>
      </w: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The council has the authority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Establish committees of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Establish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Hold a closed session if the council votes to do so in a public roll-call vote with an affirmative vote of at least two-thirds if the total council is present or a unanimous vote if fewer are present. The council will keep minutes of all discussion, persons present, and actions occurring at a closed session. The records will be stored securely at the academy.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Investigate alleged violations of statutes or rules that relate to the practice of licensees upon receipt of a complaint or upon the council’s own initiation.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Initiate and impose licensee discipline.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Monitor licensees that are restricted by council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Approve curriculum for certifying law enforcement and reserve officers and approve curriculum for basic training of jailers and public safety telecommunicators.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Approve the operational standards of the academy’s certifying courses, local and area schools, and regional training centers.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Develop and implement annual professional development requirements to ensure the continued competency of individuals certified by the council.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Perform any other functions authorized by a provision of law.</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7">
        <w:r>
          <w:rPr>
            <w:rStyle w:val="Hyperlink"/>
            <w:rFonts w:ascii="Times New Roman" w:hAnsi="Times New Roman"/>
            <w:b w:val="false"/>
            <w:i w:val="false"/>
            <w:color w:val="000000"/>
            <w:sz w:val="24"/>
          </w:rPr>
          <w:t>80B.7</w:t>
        </w:r>
      </w:hyperlink>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80B.9</w:t>
        </w:r>
      </w:hyperlink>
      <w:r>
        <w:rPr>
          <w:rFonts w:ascii="Times New Roman" w:hAnsi="Times New Roman"/>
          <w:b w:val="false"/>
          <w:i w:val="false"/>
          <w:color w:val="000000"/>
          <w:sz w:val="24"/>
        </w:rPr>
        <w:t xml:space="preserve"> and chapter </w:t>
      </w:r>
      <w:hyperlink r:id="rId29">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501—1.4</w:t>
      </w:r>
      <w:r>
        <w:rPr>
          <w:rFonts w:ascii="Times New Roman" w:hAnsi="Times New Roman"/>
          <w:b/>
          <w:i w:val="false"/>
          <w:color w:val="000000"/>
          <w:sz w:val="24"/>
        </w:rPr>
        <w:t xml:space="preserve">(80B) </w:t>
      </w:r>
      <w:r>
        <w:rPr>
          <w:rFonts w:ascii="Times New Roman" w:hAnsi="Times New Roman"/>
          <w:b/>
          <w:i w:val="false"/>
          <w:color w:val="000000"/>
          <w:sz w:val="24"/>
        </w:rPr>
        <w:t xml:space="preserve">Information, submissions or requests. </w:t>
      </w:r>
      <w:r>
        <w:rPr>
          <w:rFonts w:ascii="Times New Roman" w:hAnsi="Times New Roman"/>
          <w:b w:val="false"/>
          <w:i w:val="false"/>
          <w:color w:val="000000"/>
          <w:sz w:val="24"/>
        </w:rPr>
        <w:t xml:space="preserve">General inquiries regarding the council, and all submissions to or requests of the council will be made through the Director, Iowa Law Enforcement Academy, P.O. Box 130, Johnston, Iowa 50131 or at </w:t>
      </w:r>
      <w:hyperlink r:id="rId30">
        <w:r>
          <w:rPr>
            <w:rStyle w:val="Hyperlink"/>
            <w:rFonts w:ascii="Times New Roman" w:hAnsi="Times New Roman"/>
            <w:b w:val="false"/>
            <w:i w:val="false"/>
            <w:color w:val="000000"/>
            <w:sz w:val="24"/>
            <w:u w:val="single"/>
          </w:rPr>
          <w:t>ileacouncil@iowa.gov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1">
        <w:r>
          <w:rPr>
            <w:rStyle w:val="Hyperlink"/>
            <w:rFonts w:ascii="Times New Roman" w:hAnsi="Times New Roman"/>
            <w:b w:val="false"/>
            <w:i w:val="false"/>
            <w:color w:val="000000"/>
            <w:sz w:val="24"/>
          </w:rPr>
          <w:t>80B.9</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501—1.5</w:t>
      </w:r>
      <w:r>
        <w:rPr>
          <w:rFonts w:ascii="Times New Roman" w:hAnsi="Times New Roman"/>
          <w:b/>
          <w:i w:val="false"/>
          <w:color w:val="000000"/>
          <w:sz w:val="24"/>
        </w:rPr>
        <w:t xml:space="preserve">(80B) </w:t>
      </w:r>
      <w:r>
        <w:rPr>
          <w:rFonts w:ascii="Times New Roman" w:hAnsi="Times New Roman"/>
          <w:b/>
          <w:i w:val="false"/>
          <w:color w:val="000000"/>
          <w:sz w:val="24"/>
        </w:rPr>
        <w:t xml:space="preserve">Exigent action required. </w:t>
      </w:r>
      <w:r>
        <w:rPr>
          <w:rFonts w:ascii="Times New Roman" w:hAnsi="Times New Roman"/>
          <w:b w:val="false"/>
          <w:i w:val="false"/>
          <w:color w:val="000000"/>
          <w:sz w:val="24"/>
        </w:rPr>
        <w:t>In the event exigent action is required by the council, the director or academy legal counsel may poll individual council members concerning the needed action. The vote of each member will be recorded and the agreement of a majority of voting members will constitute official action by the council. The action will be confirmed at the next scheduled council meeting and the reason for the action reflected in the minutes.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2">
        <w:r>
          <w:rPr>
            <w:rStyle w:val="Hyperlink"/>
            <w:rFonts w:ascii="Times New Roman" w:hAnsi="Times New Roman"/>
            <w:b w:val="false"/>
            <w:i w:val="false"/>
            <w:color w:val="000000"/>
            <w:sz w:val="24"/>
          </w:rPr>
          <w:t>80B.9</w:t>
        </w:r>
      </w:hyperlink>
      <w:r>
        <w:rPr>
          <w:rFonts w:ascii="Times New Roman" w:hAnsi="Times New Roman"/>
          <w:b w:val="false"/>
          <w:i w:val="false"/>
          <w:color w:val="000000"/>
          <w:sz w:val="24"/>
        </w:rPr>
        <w:t xml:space="preserve"> and </w:t>
      </w:r>
      <w:hyperlink r:id="rId33">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501—1.6</w:t>
      </w:r>
      <w:r>
        <w:rPr>
          <w:rFonts w:ascii="Times New Roman" w:hAnsi="Times New Roman"/>
          <w:b/>
          <w:i w:val="false"/>
          <w:color w:val="000000"/>
          <w:sz w:val="24"/>
        </w:rPr>
        <w:t xml:space="preserve">(80B) </w:t>
      </w:r>
      <w:r>
        <w:rPr>
          <w:rFonts w:ascii="Times New Roman" w:hAnsi="Times New Roman"/>
          <w:b/>
          <w:i w:val="false"/>
          <w:color w:val="000000"/>
          <w:sz w:val="24"/>
        </w:rPr>
        <w:t xml:space="preserve">Audit of professional development. </w:t>
      </w:r>
      <w:r>
        <w:rPr>
          <w:rFonts w:ascii="Times New Roman" w:hAnsi="Times New Roman"/>
          <w:b w:val="false"/>
          <w:i w:val="false"/>
          <w:color w:val="000000"/>
          <w:sz w:val="24"/>
        </w:rPr>
        <w:t>The council may select officers, jailers, or public safety telecommunicators for audit of professional development on an annual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1.6(1)</w:t>
      </w:r>
      <w:r>
        <w:rPr>
          <w:rFonts w:ascii="Times New Roman" w:hAnsi="Times New Roman"/>
          <w:b w:val="false"/>
          <w:i w:val="false"/>
          <w:color w:val="000000"/>
          <w:sz w:val="24"/>
        </w:rPr>
        <w:t> </w:t>
      </w:r>
      <w:r>
        <w:rPr>
          <w:rFonts w:ascii="Times New Roman" w:hAnsi="Times New Roman"/>
          <w:b w:val="false"/>
          <w:i/>
          <w:color w:val="000000"/>
          <w:sz w:val="24"/>
        </w:rPr>
        <w:t xml:space="preserve">Audit. </w:t>
      </w:r>
      <w:r>
        <w:rPr>
          <w:rFonts w:ascii="Times New Roman" w:hAnsi="Times New Roman"/>
          <w:b w:val="false"/>
          <w:i w:val="false"/>
          <w:color w:val="000000"/>
          <w:sz w:val="24"/>
        </w:rPr>
        <w:t>If selected for audit, the individual will provide documentation for professional development within 30 days of notice. The documentation will contain a training overview, instructor name, length of training, training date and location, and any training scores achieved. An extension of time may be granted on an individual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1.6(2)</w:t>
      </w:r>
      <w:r>
        <w:rPr>
          <w:rFonts w:ascii="Times New Roman" w:hAnsi="Times New Roman"/>
          <w:b w:val="false"/>
          <w:i w:val="false"/>
          <w:color w:val="000000"/>
          <w:sz w:val="24"/>
        </w:rPr>
        <w:t> </w:t>
      </w:r>
      <w:r>
        <w:rPr>
          <w:rFonts w:ascii="Times New Roman" w:hAnsi="Times New Roman"/>
          <w:b w:val="false"/>
          <w:i/>
          <w:color w:val="000000"/>
          <w:sz w:val="24"/>
        </w:rPr>
        <w:t xml:space="preserve">Record retention. </w:t>
      </w:r>
      <w:r>
        <w:rPr>
          <w:rFonts w:ascii="Times New Roman" w:hAnsi="Times New Roman"/>
          <w:b w:val="false"/>
          <w:i w:val="false"/>
          <w:color w:val="000000"/>
          <w:sz w:val="24"/>
        </w:rPr>
        <w:t xml:space="preserve">Professional development documentation will be maintained for three full calendar years.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1.6(3)</w:t>
      </w:r>
      <w:r>
        <w:rPr>
          <w:rFonts w:ascii="Times New Roman" w:hAnsi="Times New Roman"/>
          <w:b w:val="false"/>
          <w:i w:val="false"/>
          <w:color w:val="000000"/>
          <w:sz w:val="24"/>
        </w:rPr>
        <w:t> </w:t>
      </w:r>
      <w:r>
        <w:rPr>
          <w:rFonts w:ascii="Times New Roman" w:hAnsi="Times New Roman"/>
          <w:b w:val="false"/>
          <w:i/>
          <w:color w:val="000000"/>
          <w:sz w:val="24"/>
        </w:rPr>
        <w:t xml:space="preserve">Incomplete or unsatisfactory documentation. </w:t>
      </w:r>
      <w:r>
        <w:rPr>
          <w:rFonts w:ascii="Times New Roman" w:hAnsi="Times New Roman"/>
          <w:b w:val="false"/>
          <w:i w:val="false"/>
          <w:color w:val="000000"/>
          <w:sz w:val="24"/>
        </w:rPr>
        <w:t>If the submitted documentation is incomplete or unsatisfactory, the individual may submit make-up credit to cover the deficit. The deadline for make-up credit is 90 days from the date of notice of deficit.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1.6(4)</w:t>
      </w:r>
      <w:r>
        <w:rPr>
          <w:rFonts w:ascii="Times New Roman" w:hAnsi="Times New Roman"/>
          <w:b w:val="false"/>
          <w:i w:val="false"/>
          <w:color w:val="000000"/>
          <w:sz w:val="24"/>
        </w:rPr>
        <w:t> </w:t>
      </w:r>
      <w:r>
        <w:rPr>
          <w:rFonts w:ascii="Times New Roman" w:hAnsi="Times New Roman"/>
          <w:b w:val="false"/>
          <w:i/>
          <w:color w:val="000000"/>
          <w:sz w:val="24"/>
        </w:rPr>
        <w:t xml:space="preserve">Deficit. </w:t>
      </w:r>
      <w:r>
        <w:rPr>
          <w:rFonts w:ascii="Times New Roman" w:hAnsi="Times New Roman"/>
          <w:b w:val="false"/>
          <w:i w:val="false"/>
          <w:color w:val="000000"/>
          <w:sz w:val="24"/>
        </w:rPr>
        <w:t>A deficit will result in an investigative referral.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4">
        <w:r>
          <w:rPr>
            <w:rStyle w:val="Hyperlink"/>
            <w:rFonts w:ascii="Times New Roman" w:hAnsi="Times New Roman"/>
            <w:b w:val="false"/>
            <w:i w:val="false"/>
            <w:color w:val="000000"/>
            <w:sz w:val="24"/>
          </w:rPr>
          <w:t>80B.11</w:t>
        </w:r>
      </w:hyperlink>
      <w:r>
        <w:rPr>
          <w:rFonts w:ascii="Times New Roman" w:hAnsi="Times New Roman"/>
          <w:b w:val="false"/>
          <w:i w:val="false"/>
          <w:color w:val="000000"/>
          <w:sz w:val="24"/>
        </w:rPr>
        <w:t xml:space="preserve">, </w:t>
      </w:r>
      <w:hyperlink r:id="rId35">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36">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 xml:space="preserve">, </w:t>
      </w:r>
      <w:hyperlink r:id="rId37">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39">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501—1.7</w:t>
      </w:r>
      <w:r>
        <w:rPr>
          <w:rFonts w:ascii="Times New Roman" w:hAnsi="Times New Roman"/>
          <w:b/>
          <w:i w:val="false"/>
          <w:color w:val="000000"/>
          <w:sz w:val="24"/>
        </w:rPr>
        <w:t xml:space="preserve">(80B,80D) </w:t>
      </w:r>
      <w:r>
        <w:rPr>
          <w:rFonts w:ascii="Times New Roman" w:hAnsi="Times New Roman"/>
          <w:b/>
          <w:i w:val="false"/>
          <w:color w:val="000000"/>
          <w:sz w:val="24"/>
        </w:rPr>
        <w:t xml:space="preserve">Time tolled. </w:t>
      </w:r>
      <w:r>
        <w:rPr>
          <w:rFonts w:ascii="Times New Roman" w:hAnsi="Times New Roman"/>
          <w:b w:val="false"/>
          <w:i w:val="false"/>
          <w:color w:val="000000"/>
          <w:sz w:val="24"/>
        </w:rPr>
        <w:t>Time requirements for obtaining certification, completing required training, and completion of mandatory professional development are tolled during the period an individual is absent from employment because of service in the uniformed services.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0">
        <w:r>
          <w:rPr>
            <w:rStyle w:val="Hyperlink"/>
            <w:rFonts w:ascii="Times New Roman" w:hAnsi="Times New Roman"/>
            <w:b w:val="false"/>
            <w:i w:val="false"/>
            <w:color w:val="000000"/>
            <w:sz w:val="24"/>
          </w:rPr>
          <w:t>80B.11</w:t>
        </w:r>
      </w:hyperlink>
      <w:r>
        <w:rPr>
          <w:rFonts w:ascii="Times New Roman" w:hAnsi="Times New Roman"/>
          <w:b w:val="false"/>
          <w:i w:val="false"/>
          <w:color w:val="000000"/>
          <w:sz w:val="24"/>
        </w:rPr>
        <w:t xml:space="preserve">, </w:t>
      </w:r>
      <w:hyperlink r:id="rId41">
        <w:r>
          <w:rPr>
            <w:rStyle w:val="Hyperlink"/>
            <w:rFonts w:ascii="Times New Roman" w:hAnsi="Times New Roman"/>
            <w:b w:val="false"/>
            <w:i w:val="false"/>
            <w:color w:val="000000"/>
            <w:sz w:val="24"/>
          </w:rPr>
          <w:t>80B.11A</w:t>
        </w:r>
      </w:hyperlink>
      <w:r>
        <w:rPr>
          <w:rFonts w:ascii="Times New Roman" w:hAnsi="Times New Roman"/>
          <w:b w:val="false"/>
          <w:i w:val="false"/>
          <w:color w:val="000000"/>
          <w:sz w:val="24"/>
        </w:rPr>
        <w:t xml:space="preserve">, </w:t>
      </w:r>
      <w:hyperlink r:id="rId42">
        <w:r>
          <w:rPr>
            <w:rStyle w:val="Hyperlink"/>
            <w:rFonts w:ascii="Times New Roman" w:hAnsi="Times New Roman"/>
            <w:b w:val="false"/>
            <w:i w:val="false"/>
            <w:color w:val="000000"/>
            <w:sz w:val="24"/>
          </w:rPr>
          <w:t>80B.11C</w:t>
        </w:r>
      </w:hyperlink>
      <w:r>
        <w:rPr>
          <w:rFonts w:ascii="Times New Roman" w:hAnsi="Times New Roman"/>
          <w:b w:val="false"/>
          <w:i w:val="false"/>
          <w:color w:val="000000"/>
          <w:sz w:val="24"/>
        </w:rPr>
        <w:t xml:space="preserve">, </w:t>
      </w:r>
      <w:hyperlink r:id="rId43">
        <w:r>
          <w:rPr>
            <w:rStyle w:val="Hyperlink"/>
            <w:rFonts w:ascii="Times New Roman" w:hAnsi="Times New Roman"/>
            <w:b w:val="false"/>
            <w:i w:val="false"/>
            <w:color w:val="000000"/>
            <w:sz w:val="24"/>
          </w:rPr>
          <w:t>80B.13</w:t>
        </w:r>
      </w:hyperlink>
      <w:r>
        <w:rPr>
          <w:rFonts w:ascii="Times New Roman" w:hAnsi="Times New Roman"/>
          <w:b w:val="false"/>
          <w:i w:val="false"/>
          <w:color w:val="000000"/>
          <w:sz w:val="24"/>
        </w:rPr>
        <w:t xml:space="preserve">, </w:t>
      </w:r>
      <w:hyperlink r:id="rId44">
        <w:r>
          <w:rPr>
            <w:rStyle w:val="Hyperlink"/>
            <w:rFonts w:ascii="Times New Roman" w:hAnsi="Times New Roman"/>
            <w:b w:val="false"/>
            <w:i w:val="false"/>
            <w:color w:val="000000"/>
            <w:sz w:val="24"/>
          </w:rPr>
          <w:t>80B.13A</w:t>
        </w:r>
      </w:hyperlink>
      <w:r>
        <w:rPr>
          <w:rFonts w:ascii="Times New Roman" w:hAnsi="Times New Roman"/>
          <w:b w:val="false"/>
          <w:i w:val="false"/>
          <w:color w:val="000000"/>
          <w:sz w:val="24"/>
        </w:rPr>
        <w:t xml:space="preserve">, and </w:t>
      </w:r>
      <w:hyperlink r:id="rId45">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38 U.S.C. §4301</w:t>
      </w:r>
      <w:r>
        <w:rPr>
          <w:rFonts w:ascii="Times New Roman" w:hAnsi="Times New Roman"/>
          <w:b w:val="false"/>
          <w:i w:val="false"/>
          <w:color w:val="000000"/>
          <w:sz w:val="24"/>
        </w:rPr>
        <w:t xml:space="preserve"> through </w:t>
      </w:r>
      <w:r>
        <w:rPr>
          <w:rFonts w:ascii="Times New Roman" w:hAnsi="Times New Roman"/>
          <w:b w:val="false"/>
          <w:i w:val="false"/>
          <w:color w:val="000000"/>
          <w:sz w:val="24"/>
        </w:rPr>
        <w:t>4335</w:t>
      </w:r>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501—1.8</w:t>
      </w:r>
      <w:r>
        <w:rPr>
          <w:rFonts w:ascii="Times New Roman" w:hAnsi="Times New Roman"/>
          <w:b/>
          <w:i w:val="false"/>
          <w:color w:val="000000"/>
          <w:sz w:val="24"/>
        </w:rPr>
        <w:t xml:space="preserve">(17A,80B,80D) </w:t>
      </w:r>
      <w:r>
        <w:rPr>
          <w:rFonts w:ascii="Times New Roman" w:hAnsi="Times New Roman"/>
          <w:b/>
          <w:i w:val="false"/>
          <w:color w:val="000000"/>
          <w:sz w:val="24"/>
        </w:rPr>
        <w:t xml:space="preserve">Uniform rules. </w:t>
      </w:r>
      <w:r>
        <w:rPr>
          <w:rFonts w:ascii="Times New Roman" w:hAnsi="Times New Roman"/>
          <w:b w:val="false"/>
          <w:i w:val="false"/>
          <w:color w:val="000000"/>
          <w:sz w:val="24"/>
        </w:rPr>
        <w:t xml:space="preserve">The Uniform Rules on Agency Procedure, </w:t>
      </w:r>
      <w:hyperlink r:id="rId46">
        <w:r>
          <w:rPr>
            <w:rStyle w:val="Hyperlink"/>
            <w:rFonts w:ascii="Times New Roman" w:hAnsi="Times New Roman"/>
            <w:b w:val="false"/>
            <w:i w:val="false"/>
            <w:color w:val="000000"/>
            <w:sz w:val="24"/>
          </w:rPr>
          <w:t>7—Chapters 2500 through 2506</w:t>
        </w:r>
      </w:hyperlink>
      <w:r>
        <w:rPr>
          <w:rFonts w:ascii="Times New Roman" w:hAnsi="Times New Roman"/>
          <w:b w:val="false"/>
          <w:i w:val="false"/>
          <w:color w:val="000000"/>
          <w:sz w:val="24"/>
        </w:rPr>
        <w:t xml:space="preserve">, are rules generally applicable to agencies pursuant to Iowa Code section </w:t>
      </w:r>
      <w:hyperlink r:id="rId4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xml:space="preserve">. Additions, exceptions, or amendments to the corresponding chapters are found in </w:t>
      </w:r>
      <w:hyperlink r:id="rId48">
        <w:r>
          <w:rPr>
            <w:rStyle w:val="Hyperlink"/>
            <w:rFonts w:ascii="Times New Roman" w:hAnsi="Times New Roman"/>
            <w:b w:val="false"/>
            <w:i w:val="false"/>
            <w:color w:val="000000"/>
            <w:sz w:val="24"/>
          </w:rPr>
          <w:t>501—paragraphs 2504.1(1)</w:t>
        </w:r>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“d,”</w:t>
        </w:r>
      </w:hyperlink>
      <w:r>
        <w:rPr>
          <w:rFonts w:ascii="Times New Roman" w:hAnsi="Times New Roman"/>
          <w:b w:val="false"/>
          <w:i w:val="false"/>
          <w:color w:val="000000"/>
          <w:sz w:val="24"/>
        </w:rPr>
        <w:t xml:space="preserve"> rules </w:t>
      </w:r>
      <w:hyperlink r:id="rId49">
        <w:r>
          <w:rPr>
            <w:rStyle w:val="Hyperlink"/>
            <w:rFonts w:ascii="Times New Roman" w:hAnsi="Times New Roman"/>
            <w:b w:val="false"/>
            <w:i w:val="false"/>
            <w:color w:val="000000"/>
            <w:sz w:val="24"/>
          </w:rPr>
          <w:t>501—2505.9(22,80B,80D) through 2505.12</w:t>
        </w:r>
      </w:hyperlink>
      <w:r>
        <w:rPr>
          <w:rFonts w:ascii="Times New Roman" w:hAnsi="Times New Roman"/>
          <w:b w:val="false"/>
          <w:i w:val="false"/>
          <w:color w:val="000000"/>
          <w:sz w:val="24"/>
        </w:rPr>
        <w:t xml:space="preserve">(22,80B,80D), and rule </w:t>
      </w:r>
      <w:hyperlink r:id="rId50">
        <w:r>
          <w:rPr>
            <w:rStyle w:val="Hyperlink"/>
            <w:rFonts w:ascii="Times New Roman" w:hAnsi="Times New Roman"/>
            <w:b w:val="false"/>
            <w:i w:val="false"/>
            <w:color w:val="000000"/>
            <w:sz w:val="24"/>
          </w:rPr>
          <w:t>501—2506.8</w:t>
        </w:r>
      </w:hyperlink>
      <w:r>
        <w:rPr>
          <w:rFonts w:ascii="Times New Roman" w:hAnsi="Times New Roman"/>
          <w:b w:val="false"/>
          <w:i w:val="false"/>
          <w:color w:val="000000"/>
          <w:sz w:val="24"/>
        </w:rPr>
        <w:t>(17A).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1">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w:t>
      </w:r>
    </w:p>
    <w:sectPr>
      <w:footerReference r:id="rId5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us06web.zoom.us/j/88403237275" Type="http://schemas.openxmlformats.org/officeDocument/2006/relationships/hyperlink" Id="rId4"/>
    <Relationship TargetMode="External" Target="mailto:kristi.traynor@iowa.gov" Type="http://schemas.openxmlformats.org/officeDocument/2006/relationships/hyperlink" Id="rId5"/>
    <Relationship TargetMode="External" Target="https://www.legis.iowa.gov/docs/iac/chapter/501.2-6.pdf" Type="http://schemas.openxmlformats.org/officeDocument/2006/relationships/hyperlink" Id="rId6"/>
    <Relationship TargetMode="External" Target="https://www.legis.iowa.gov/docs/iac/chapter/501.8-10.pdf" Type="http://schemas.openxmlformats.org/officeDocument/2006/relationships/hyperlink" Id="rId7"/>
    <Relationship TargetMode="External" Target="https://www.legis.iowa.gov/docs/ico/chapter/356.pdf" Type="http://schemas.openxmlformats.org/officeDocument/2006/relationships/hyperlink" Id="rId8"/>
    <Relationship TargetMode="External" Target="https://www.legis.iowa.gov/docs/ico/chapter/356A.pdf" Type="http://schemas.openxmlformats.org/officeDocument/2006/relationships/hyperlink" Id="rId9"/>
    <Relationship TargetMode="External" Target="https://www.legis.iowa.gov/docs/iac/chapter/201.51.pdf" Type="http://schemas.openxmlformats.org/officeDocument/2006/relationships/hyperlink" Id="rId10"/>
    <Relationship TargetMode="External" Target="https://www.legis.iowa.gov/docs/ico/chapter/80B.3.pdf" Type="http://schemas.openxmlformats.org/officeDocument/2006/relationships/hyperlink" Id="rId11"/>
    <Relationship TargetMode="External" Target="https://www.legis.iowa.gov/docs/ico/chapter/80B.11.pdf" Type="http://schemas.openxmlformats.org/officeDocument/2006/relationships/hyperlink" Id="rId12"/>
    <Relationship TargetMode="External" Target="https://www.legis.iowa.gov/docs/ico/chapter/80B.13.pdf" Type="http://schemas.openxmlformats.org/officeDocument/2006/relationships/hyperlink" Id="rId13"/>
    <Relationship TargetMode="External" Target="https://www.legis.iowa.gov/docs/ico/chapter/80D.7.pdf" Type="http://schemas.openxmlformats.org/officeDocument/2006/relationships/hyperlink" Id="rId14"/>
    <Relationship TargetMode="External" Target="https://www.legis.iowa.gov/docs/ico/chapter/321.52.pdf" Type="http://schemas.openxmlformats.org/officeDocument/2006/relationships/hyperlink" Id="rId15"/>
    <Relationship TargetMode="External" Target="https://www.legis.iowa.gov/docs/ico/chapter/80B.pdf" Type="http://schemas.openxmlformats.org/officeDocument/2006/relationships/hyperlink" Id="rId16"/>
    <Relationship TargetMode="External" Target="https://www.legis.iowa.gov/docs/ico/chapter/80D.pdf" Type="http://schemas.openxmlformats.org/officeDocument/2006/relationships/hyperlink" Id="rId17"/>
    <Relationship TargetMode="External" Target="https://www.legis.iowa.gov/docs/iac/chapter/501.1-10.pdf" Type="http://schemas.openxmlformats.org/officeDocument/2006/relationships/hyperlink" Id="rId18"/>
    <Relationship TargetMode="External" Target="https://www.legis.iowa.gov/docs/iac/chapter/501.2504-2506.pdf" Type="http://schemas.openxmlformats.org/officeDocument/2006/relationships/hyperlink" Id="rId19"/>
    <Relationship TargetMode="External" Target="https://www.legis.iowa.gov/docs/ico/chapter/80B.2.pdf" Type="http://schemas.openxmlformats.org/officeDocument/2006/relationships/hyperlink" Id="rId20"/>
    <Relationship TargetMode="External" Target="https://www.legis.iowa.gov/docs/ico/chapter/80B.11.pdf" Type="http://schemas.openxmlformats.org/officeDocument/2006/relationships/hyperlink" Id="rId21"/>
    <Relationship TargetMode="External" Target="https://www.legis.iowa.gov/docs/ico/chapter/80B.11A.pdf" Type="http://schemas.openxmlformats.org/officeDocument/2006/relationships/hyperlink" Id="rId22"/>
    <Relationship TargetMode="External" Target="https://www.legis.iowa.gov/docs/ico/chapter/80B.11C.pdf" Type="http://schemas.openxmlformats.org/officeDocument/2006/relationships/hyperlink" Id="rId23"/>
    <Relationship TargetMode="External" Target="https://www.legis.iowa.gov/docs/ico/chapter/80B.13.pdf" Type="http://schemas.openxmlformats.org/officeDocument/2006/relationships/hyperlink" Id="rId24"/>
    <Relationship TargetMode="External" Target="https://www.legis.iowa.gov/docs/ico/chapter/80D.4A.pdf" Type="http://schemas.openxmlformats.org/officeDocument/2006/relationships/hyperlink" Id="rId25"/>
    <Relationship TargetMode="External" Target="https://www.legis.iowa.gov/docs/ico/chapter/21.pdf" Type="http://schemas.openxmlformats.org/officeDocument/2006/relationships/hyperlink" Id="rId26"/>
    <Relationship TargetMode="External" Target="https://www.legis.iowa.gov/docs/ico/chapter/80B.7.pdf" Type="http://schemas.openxmlformats.org/officeDocument/2006/relationships/hyperlink" Id="rId27"/>
    <Relationship TargetMode="External" Target="https://www.legis.iowa.gov/docs/ico/chapter/80B.9.pdf" Type="http://schemas.openxmlformats.org/officeDocument/2006/relationships/hyperlink" Id="rId28"/>
    <Relationship TargetMode="External" Target="https://www.legis.iowa.gov/docs/ico/chapter/21.pdf" Type="http://schemas.openxmlformats.org/officeDocument/2006/relationships/hyperlink" Id="rId29"/>
    <Relationship TargetMode="External" Target="mailto:ileacouncil@iowa.gov" Type="http://schemas.openxmlformats.org/officeDocument/2006/relationships/hyperlink" Id="rId30"/>
    <Relationship TargetMode="External" Target="https://www.legis.iowa.gov/docs/ico/chapter/80B.9.pdf" Type="http://schemas.openxmlformats.org/officeDocument/2006/relationships/hyperlink" Id="rId31"/>
    <Relationship TargetMode="External" Target="https://www.legis.iowa.gov/docs/ico/chapter/80B.9.pdf" Type="http://schemas.openxmlformats.org/officeDocument/2006/relationships/hyperlink" Id="rId32"/>
    <Relationship TargetMode="External" Target="https://www.legis.iowa.gov/docs/ico/chapter/80B.13.pdf" Type="http://schemas.openxmlformats.org/officeDocument/2006/relationships/hyperlink" Id="rId33"/>
    <Relationship TargetMode="External" Target="https://www.legis.iowa.gov/docs/ico/chapter/80B.11.pdf" Type="http://schemas.openxmlformats.org/officeDocument/2006/relationships/hyperlink" Id="rId34"/>
    <Relationship TargetMode="External" Target="https://www.legis.iowa.gov/docs/ico/chapter/80B.11A.pdf" Type="http://schemas.openxmlformats.org/officeDocument/2006/relationships/hyperlink" Id="rId35"/>
    <Relationship TargetMode="External" Target="https://www.legis.iowa.gov/docs/ico/chapter/80B.11C.pdf" Type="http://schemas.openxmlformats.org/officeDocument/2006/relationships/hyperlink" Id="rId36"/>
    <Relationship TargetMode="External" Target="https://www.legis.iowa.gov/docs/ico/chapter/80B.13.pdf" Type="http://schemas.openxmlformats.org/officeDocument/2006/relationships/hyperlink" Id="rId37"/>
    <Relationship TargetMode="External" Target="https://www.legis.iowa.gov/docs/ico/chapter/80B.13A.pdf" Type="http://schemas.openxmlformats.org/officeDocument/2006/relationships/hyperlink" Id="rId38"/>
    <Relationship TargetMode="External" Target="https://www.legis.iowa.gov/docs/ico/chapter/80D.4A.pdf" Type="http://schemas.openxmlformats.org/officeDocument/2006/relationships/hyperlink" Id="rId39"/>
    <Relationship TargetMode="External" Target="https://www.legis.iowa.gov/docs/ico/chapter/80B.11.pdf" Type="http://schemas.openxmlformats.org/officeDocument/2006/relationships/hyperlink" Id="rId40"/>
    <Relationship TargetMode="External" Target="https://www.legis.iowa.gov/docs/ico/chapter/80B.11A.pdf" Type="http://schemas.openxmlformats.org/officeDocument/2006/relationships/hyperlink" Id="rId41"/>
    <Relationship TargetMode="External" Target="https://www.legis.iowa.gov/docs/ico/chapter/80B.11C.pdf" Type="http://schemas.openxmlformats.org/officeDocument/2006/relationships/hyperlink" Id="rId42"/>
    <Relationship TargetMode="External" Target="https://www.legis.iowa.gov/docs/ico/chapter/80B.13.pdf" Type="http://schemas.openxmlformats.org/officeDocument/2006/relationships/hyperlink" Id="rId43"/>
    <Relationship TargetMode="External" Target="https://www.legis.iowa.gov/docs/ico/chapter/80B.13A.pdf" Type="http://schemas.openxmlformats.org/officeDocument/2006/relationships/hyperlink" Id="rId44"/>
    <Relationship TargetMode="External" Target="https://www.legis.iowa.gov/docs/ico/chapter/80D.4A.pdf" Type="http://schemas.openxmlformats.org/officeDocument/2006/relationships/hyperlink" Id="rId45"/>
    <Relationship TargetMode="External" Target="https://www.legis.iowa.gov/docs/iac/chapter/7.2500-2506.pdf" Type="http://schemas.openxmlformats.org/officeDocument/2006/relationships/hyperlink" Id="rId46"/>
    <Relationship TargetMode="External" Target="https://www.legis.iowa.gov/docs/ico/chapter/17A.24.pdf" Type="http://schemas.openxmlformats.org/officeDocument/2006/relationships/hyperlink" Id="rId47"/>
    <Relationship TargetMode="External" Target="https://www.legis.iowa.gov/docs/iac/rule/501.2504.1.pdf" Type="http://schemas.openxmlformats.org/officeDocument/2006/relationships/hyperlink" Id="rId48"/>
    <Relationship TargetMode="External" Target="https://www.legis.iowa.gov/docs/iac/rule/501.2505.9-12.pdf" Type="http://schemas.openxmlformats.org/officeDocument/2006/relationships/hyperlink" Id="rId49"/>
    <Relationship TargetMode="External" Target="https://www.legis.iowa.gov/docs/iac/rule/501.2506.8.pdf" Type="http://schemas.openxmlformats.org/officeDocument/2006/relationships/hyperlink" Id="rId50"/>
    <Relationship TargetMode="External" Target="https://www.legis.iowa.gov/docs/ico/chapter/17A.24.pdf" Type="http://schemas.openxmlformats.org/officeDocument/2006/relationships/hyperlink" Id="rId51"/>
    <Relationship Target="footer.xml" Type="http://schemas.openxmlformats.org/officeDocument/2006/relationships/footer" Id="rId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